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менеджмент</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менеджмент»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«Финансовый менеджмент».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отдельных функциональных направлений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инструменты анализа существующих методов контроля рисков и управления рисками и их достаточности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план мероприятий по управлению рисками, виды, методы, формы и инструменты внутреннего контроля, информационную политику организации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инструменты анализа последствий рисков, возможности инструментов риск-менеджмента для анализа рисков организации, методы и инструменты, применяемые для предупреждения рисков несоответствия законодательству Российской Федерации и регуляторным требованиям</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определять эффективные методы воздействия на риск, разрабатывать и внедрять планы воздействия на риски (совместно с ответственными за риск сотрудниками - владельцами риска), оказывать помощь ответственным за риск сотрудникам в правильной оценке риска и разработке мероприятий по их управлению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осуществлять расчеты, прогнозировать, тестировать и верифицировать методики управления рисками с учетом отраслевой специфики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оценки деятельности подразделений по воздействию на риски, мониторинга рисков и мониторинга мероприятий по воздействию на риски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разработки мероприятий по управлению рисками совместно с ответственными за риск сотрудниками организации - владельцами риска, оказания помощи сотрудникам в выявлении и оценке новых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сбора, систематизации, анализа информации о реализовавшихся рисках (статистика реализовавшихся событий), сбора информации, контроля качества работы сотрудников по описанию и актуализации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консолидации информации по всем рискам в зоне своей ответственности в единый реестр и корректировка реестра в процессе их изменений, актуализации карты рисков, реестра рисков, плана мероприятий по управлению рисками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разработки методик управления разными видами рисков в соответствии с принятой в организации классификацией рисков, разработки и актуализации отдельных методов и нормативных документов системы управления рисками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анализа применяемых способов управления рисками и мероприятий по управлению рисками, мониторинга системы управления рисками, актуализация карт рисков по бизнес-процессам, направлениям бизнеса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04.58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«Финансовый менеджмент» относится к обязательной части, является дисциплиной Блока Б1. «Дисциплины (модули)». Модуль "Управление рисками (риск-менеджмент)"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4679" w:type="dxa"/>
          </w:tcPr>
          <w:p/>
        </w:tc>
        <w:tc>
          <w:tcPr>
            <w:tcW w:w="993" w:type="dxa"/>
          </w:tcPr>
          <w:p/>
        </w:tc>
      </w:tr>
      <w:tr>
        <w:trPr>
          <w:trHeight w:hRule="exact" w:val="277.8299"/>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235.7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страховании</w:t>
            </w:r>
          </w:p>
          <w:p>
            <w:pPr>
              <w:jc w:val="center"/>
              <w:spacing w:after="0" w:line="240" w:lineRule="auto"/>
              <w:rPr>
                <w:sz w:val="22"/>
                <w:szCs w:val="22"/>
              </w:rPr>
            </w:pPr>
            <w:r>
              <w:rPr>
                <w:rFonts w:ascii="Times New Roman" w:hAnsi="Times New Roman" w:cs="Times New Roman"/>
                <w:color w:val="#000000"/>
                <w:sz w:val="22"/>
                <w:szCs w:val="22"/>
              </w:rPr>
              <w:t>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Стратегический менеджмент</w:t>
            </w:r>
          </w:p>
          <w:p>
            <w:pPr>
              <w:jc w:val="center"/>
              <w:spacing w:after="0" w:line="240" w:lineRule="auto"/>
              <w:rPr>
                <w:sz w:val="22"/>
                <w:szCs w:val="22"/>
              </w:rPr>
            </w:pPr>
            <w:r>
              <w:rPr>
                <w:rFonts w:ascii="Times New Roman" w:hAnsi="Times New Roman" w:cs="Times New Roman"/>
                <w:color w:val="#000000"/>
                <w:sz w:val="22"/>
                <w:szCs w:val="22"/>
              </w:rPr>
              <w:t> Страхование в комплексных системах управления рисками</w:t>
            </w:r>
          </w:p>
          <w:p>
            <w:pPr>
              <w:jc w:val="center"/>
              <w:spacing w:after="0" w:line="240" w:lineRule="auto"/>
              <w:rPr>
                <w:sz w:val="22"/>
                <w:szCs w:val="22"/>
              </w:rPr>
            </w:pPr>
            <w:r>
              <w:rPr>
                <w:rFonts w:ascii="Times New Roman" w:hAnsi="Times New Roman" w:cs="Times New Roman"/>
                <w:color w:val="#000000"/>
                <w:sz w:val="22"/>
                <w:szCs w:val="22"/>
              </w:rPr>
              <w:t> Страховое право</w:t>
            </w:r>
          </w:p>
          <w:p>
            <w:pPr>
              <w:jc w:val="center"/>
              <w:spacing w:after="0" w:line="240" w:lineRule="auto"/>
              <w:rPr>
                <w:sz w:val="22"/>
                <w:szCs w:val="22"/>
              </w:rPr>
            </w:pPr>
            <w:r>
              <w:rPr>
                <w:rFonts w:ascii="Times New Roman" w:hAnsi="Times New Roman" w:cs="Times New Roman"/>
                <w:color w:val="#000000"/>
                <w:sz w:val="22"/>
                <w:szCs w:val="22"/>
              </w:rPr>
              <w:t> Управление рисками в страховой организации</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p>
            <w:pPr>
              <w:jc w:val="center"/>
              <w:spacing w:after="0" w:line="240" w:lineRule="auto"/>
              <w:rPr>
                <w:sz w:val="22"/>
                <w:szCs w:val="22"/>
              </w:rPr>
            </w:pPr>
            <w:r>
              <w:rPr>
                <w:rFonts w:ascii="Times New Roman" w:hAnsi="Times New Roman" w:cs="Times New Roman"/>
                <w:color w:val="#000000"/>
                <w:sz w:val="22"/>
                <w:szCs w:val="22"/>
              </w:rPr>
              <w:t> Финансы страховых компаний</w:t>
            </w:r>
          </w:p>
          <w:p>
            <w:pPr>
              <w:jc w:val="center"/>
              <w:spacing w:after="0" w:line="240" w:lineRule="auto"/>
              <w:rPr>
                <w:sz w:val="22"/>
                <w:szCs w:val="22"/>
              </w:rPr>
            </w:pPr>
            <w:r>
              <w:rPr>
                <w:rFonts w:ascii="Times New Roman" w:hAnsi="Times New Roman" w:cs="Times New Roman"/>
                <w:color w:val="#000000"/>
                <w:sz w:val="22"/>
                <w:szCs w:val="22"/>
              </w:rPr>
              <w:t> Виды страхования и страховые продукты</w:t>
            </w:r>
          </w:p>
          <w:p>
            <w:pPr>
              <w:jc w:val="center"/>
              <w:spacing w:after="0" w:line="240" w:lineRule="auto"/>
              <w:rPr>
                <w:sz w:val="22"/>
                <w:szCs w:val="22"/>
              </w:rPr>
            </w:pPr>
            <w:r>
              <w:rPr>
                <w:rFonts w:ascii="Times New Roman" w:hAnsi="Times New Roman" w:cs="Times New Roman"/>
                <w:color w:val="#000000"/>
                <w:sz w:val="22"/>
                <w:szCs w:val="22"/>
              </w:rPr>
              <w:t> Корпоративное управление и корпоративная культура</w:t>
            </w:r>
          </w:p>
          <w:p>
            <w:pPr>
              <w:jc w:val="center"/>
              <w:spacing w:after="0" w:line="240" w:lineRule="auto"/>
              <w:rPr>
                <w:sz w:val="22"/>
                <w:szCs w:val="22"/>
              </w:rPr>
            </w:pPr>
            <w:r>
              <w:rPr>
                <w:rFonts w:ascii="Times New Roman" w:hAnsi="Times New Roman" w:cs="Times New Roman"/>
                <w:color w:val="#000000"/>
                <w:sz w:val="22"/>
                <w:szCs w:val="22"/>
              </w:rPr>
              <w:t> Управление проектами в страховании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страховании</w:t>
            </w:r>
          </w:p>
          <w:p>
            <w:pPr>
              <w:jc w:val="center"/>
              <w:spacing w:after="0" w:line="240" w:lineRule="auto"/>
              <w:rPr>
                <w:sz w:val="22"/>
                <w:szCs w:val="22"/>
              </w:rPr>
            </w:pPr>
            <w:r>
              <w:rPr>
                <w:rFonts w:ascii="Times New Roman" w:hAnsi="Times New Roman" w:cs="Times New Roman"/>
                <w:color w:val="#000000"/>
                <w:sz w:val="22"/>
                <w:szCs w:val="22"/>
              </w:rPr>
              <w:t>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Стратегический менеджмент</w:t>
            </w:r>
          </w:p>
          <w:p>
            <w:pPr>
              <w:jc w:val="center"/>
              <w:spacing w:after="0" w:line="240" w:lineRule="auto"/>
              <w:rPr>
                <w:sz w:val="22"/>
                <w:szCs w:val="22"/>
              </w:rPr>
            </w:pPr>
            <w:r>
              <w:rPr>
                <w:rFonts w:ascii="Times New Roman" w:hAnsi="Times New Roman" w:cs="Times New Roman"/>
                <w:color w:val="#000000"/>
                <w:sz w:val="22"/>
                <w:szCs w:val="22"/>
              </w:rPr>
              <w:t> Страхование в комплексных системах управления рисками</w:t>
            </w:r>
          </w:p>
          <w:p>
            <w:pPr>
              <w:jc w:val="center"/>
              <w:spacing w:after="0" w:line="240" w:lineRule="auto"/>
              <w:rPr>
                <w:sz w:val="22"/>
                <w:szCs w:val="22"/>
              </w:rPr>
            </w:pPr>
            <w:r>
              <w:rPr>
                <w:rFonts w:ascii="Times New Roman" w:hAnsi="Times New Roman" w:cs="Times New Roman"/>
                <w:color w:val="#000000"/>
                <w:sz w:val="22"/>
                <w:szCs w:val="22"/>
              </w:rPr>
              <w:t> Страховое право</w:t>
            </w:r>
          </w:p>
          <w:p>
            <w:pPr>
              <w:jc w:val="center"/>
              <w:spacing w:after="0" w:line="240" w:lineRule="auto"/>
              <w:rPr>
                <w:sz w:val="22"/>
                <w:szCs w:val="22"/>
              </w:rPr>
            </w:pPr>
            <w:r>
              <w:rPr>
                <w:rFonts w:ascii="Times New Roman" w:hAnsi="Times New Roman" w:cs="Times New Roman"/>
                <w:color w:val="#000000"/>
                <w:sz w:val="22"/>
                <w:szCs w:val="22"/>
              </w:rPr>
              <w:t> Управление рисками в страховой организации</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p>
            <w:pPr>
              <w:jc w:val="center"/>
              <w:spacing w:after="0" w:line="240" w:lineRule="auto"/>
              <w:rPr>
                <w:sz w:val="22"/>
                <w:szCs w:val="22"/>
              </w:rPr>
            </w:pPr>
            <w:r>
              <w:rPr>
                <w:rFonts w:ascii="Times New Roman" w:hAnsi="Times New Roman" w:cs="Times New Roman"/>
                <w:color w:val="#000000"/>
                <w:sz w:val="22"/>
                <w:szCs w:val="22"/>
              </w:rPr>
              <w:t> Финансы страховых компаний</w:t>
            </w:r>
          </w:p>
          <w:p>
            <w:pPr>
              <w:jc w:val="center"/>
              <w:spacing w:after="0" w:line="240" w:lineRule="auto"/>
              <w:rPr>
                <w:sz w:val="22"/>
                <w:szCs w:val="22"/>
              </w:rPr>
            </w:pPr>
            <w:r>
              <w:rPr>
                <w:rFonts w:ascii="Times New Roman" w:hAnsi="Times New Roman" w:cs="Times New Roman"/>
                <w:color w:val="#000000"/>
                <w:sz w:val="22"/>
                <w:szCs w:val="22"/>
              </w:rPr>
              <w:t> Андеррайтер в страховой компании</w:t>
            </w:r>
          </w:p>
          <w:p>
            <w:pPr>
              <w:jc w:val="center"/>
              <w:spacing w:after="0" w:line="240" w:lineRule="auto"/>
              <w:rPr>
                <w:sz w:val="22"/>
                <w:szCs w:val="22"/>
              </w:rPr>
            </w:pPr>
            <w:r>
              <w:rPr>
                <w:rFonts w:ascii="Times New Roman" w:hAnsi="Times New Roman" w:cs="Times New Roman"/>
                <w:color w:val="#000000"/>
                <w:sz w:val="22"/>
                <w:szCs w:val="22"/>
              </w:rPr>
              <w:t> Государственное регулирование страховой деятельности в зарубежных странах</w:t>
            </w:r>
          </w:p>
          <w:p>
            <w:pPr>
              <w:jc w:val="center"/>
              <w:spacing w:after="0" w:line="240" w:lineRule="auto"/>
              <w:rPr>
                <w:sz w:val="22"/>
                <w:szCs w:val="22"/>
              </w:rPr>
            </w:pPr>
            <w:r>
              <w:rPr>
                <w:rFonts w:ascii="Times New Roman" w:hAnsi="Times New Roman" w:cs="Times New Roman"/>
                <w:color w:val="#000000"/>
                <w:sz w:val="22"/>
                <w:szCs w:val="22"/>
              </w:rPr>
              <w:t> Международный страховой рынок</w:t>
            </w:r>
          </w:p>
          <w:p>
            <w:pPr>
              <w:jc w:val="center"/>
              <w:spacing w:after="0" w:line="240" w:lineRule="auto"/>
              <w:rPr>
                <w:sz w:val="22"/>
                <w:szCs w:val="22"/>
              </w:rPr>
            </w:pPr>
            <w:r>
              <w:rPr>
                <w:rFonts w:ascii="Times New Roman" w:hAnsi="Times New Roman" w:cs="Times New Roman"/>
                <w:color w:val="#000000"/>
                <w:sz w:val="22"/>
                <w:szCs w:val="22"/>
              </w:rPr>
              <w:t> Менеджмент страховых организаций</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страховой деятельностью</w:t>
            </w:r>
          </w:p>
          <w:p>
            <w:pPr>
              <w:jc w:val="center"/>
              <w:spacing w:after="0" w:line="240" w:lineRule="auto"/>
              <w:rPr>
                <w:sz w:val="22"/>
                <w:szCs w:val="22"/>
              </w:rPr>
            </w:pPr>
            <w:r>
              <w:rPr>
                <w:rFonts w:ascii="Times New Roman" w:hAnsi="Times New Roman" w:cs="Times New Roman"/>
                <w:color w:val="#000000"/>
                <w:sz w:val="22"/>
                <w:szCs w:val="22"/>
              </w:rPr>
              <w:t> Основы страхового бизнеса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p>
            <w:pPr>
              <w:jc w:val="center"/>
              <w:spacing w:after="0" w:line="240" w:lineRule="auto"/>
              <w:rPr>
                <w:sz w:val="22"/>
                <w:szCs w:val="22"/>
              </w:rPr>
            </w:pPr>
            <w:r>
              <w:rPr>
                <w:rFonts w:ascii="Times New Roman" w:hAnsi="Times New Roman" w:cs="Times New Roman"/>
                <w:color w:val="#000000"/>
                <w:sz w:val="22"/>
                <w:szCs w:val="22"/>
              </w:rPr>
              <w:t> Управление человеческими ресурсами в страховой организации</w:t>
            </w:r>
          </w:p>
          <w:p>
            <w:pPr>
              <w:jc w:val="center"/>
              <w:spacing w:after="0" w:line="240" w:lineRule="auto"/>
              <w:rPr>
                <w:sz w:val="22"/>
                <w:szCs w:val="22"/>
              </w:rPr>
            </w:pPr>
            <w:r>
              <w:rPr>
                <w:rFonts w:ascii="Times New Roman" w:hAnsi="Times New Roman" w:cs="Times New Roman"/>
                <w:color w:val="#000000"/>
                <w:sz w:val="22"/>
                <w:szCs w:val="22"/>
              </w:rPr>
              <w:t> Андеррайтинг на рынке ценных бумаг</w:t>
            </w:r>
          </w:p>
          <w:p>
            <w:pPr>
              <w:jc w:val="center"/>
              <w:spacing w:after="0" w:line="240" w:lineRule="auto"/>
              <w:rPr>
                <w:sz w:val="22"/>
                <w:szCs w:val="22"/>
              </w:rPr>
            </w:pPr>
            <w:r>
              <w:rPr>
                <w:rFonts w:ascii="Times New Roman" w:hAnsi="Times New Roman" w:cs="Times New Roman"/>
                <w:color w:val="#000000"/>
                <w:sz w:val="22"/>
                <w:szCs w:val="22"/>
              </w:rPr>
              <w:t> Банковский андеррайтинг</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Международное сотрудничество в сфере перестрахования</w:t>
            </w:r>
          </w:p>
          <w:p>
            <w:pPr>
              <w:jc w:val="center"/>
              <w:spacing w:after="0" w:line="240" w:lineRule="auto"/>
              <w:rPr>
                <w:sz w:val="22"/>
                <w:szCs w:val="22"/>
              </w:rPr>
            </w:pPr>
            <w:r>
              <w:rPr>
                <w:rFonts w:ascii="Times New Roman" w:hAnsi="Times New Roman" w:cs="Times New Roman"/>
                <w:color w:val="#000000"/>
                <w:sz w:val="22"/>
                <w:szCs w:val="22"/>
              </w:rPr>
              <w:t> Программы страхования (перестрахования)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p>
            <w:pPr>
              <w:jc w:val="center"/>
              <w:spacing w:after="0" w:line="240" w:lineRule="auto"/>
              <w:rPr>
                <w:sz w:val="22"/>
                <w:szCs w:val="22"/>
              </w:rPr>
            </w:pPr>
            <w:r>
              <w:rPr>
                <w:rFonts w:ascii="Times New Roman" w:hAnsi="Times New Roman" w:cs="Times New Roman"/>
                <w:color w:val="#000000"/>
                <w:sz w:val="22"/>
                <w:szCs w:val="22"/>
              </w:rPr>
              <w:t> Российский и мировой рынок перестрахования</w:t>
            </w:r>
          </w:p>
          <w:p>
            <w:pPr>
              <w:jc w:val="center"/>
              <w:spacing w:after="0" w:line="240" w:lineRule="auto"/>
              <w:rPr>
                <w:sz w:val="22"/>
                <w:szCs w:val="22"/>
              </w:rPr>
            </w:pPr>
            <w:r>
              <w:rPr>
                <w:rFonts w:ascii="Times New Roman" w:hAnsi="Times New Roman" w:cs="Times New Roman"/>
                <w:color w:val="#000000"/>
                <w:sz w:val="22"/>
                <w:szCs w:val="22"/>
              </w:rPr>
              <w:t> Саморегулируемые организации в сфере финансового рынка</w:t>
            </w:r>
          </w:p>
          <w:p>
            <w:pPr>
              <w:jc w:val="center"/>
              <w:spacing w:after="0" w:line="240" w:lineRule="auto"/>
              <w:rPr>
                <w:sz w:val="22"/>
                <w:szCs w:val="22"/>
              </w:rPr>
            </w:pPr>
            <w:r>
              <w:rPr>
                <w:rFonts w:ascii="Times New Roman" w:hAnsi="Times New Roman" w:cs="Times New Roman"/>
                <w:color w:val="#000000"/>
                <w:sz w:val="22"/>
                <w:szCs w:val="22"/>
              </w:rPr>
              <w:t> Теория и практика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финансового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 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 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основы финансового ме- 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Финансовая среда предпринимательства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Управление прибылью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Финансирование текущей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активами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Финансовое планирование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05.47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финансового ме-неджмента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цель и задачи финансового менеджмента. Функции финансового ме- неджмента. Финансовый менеджмент как система управления. Финансовый менеджмент и его структура. Базовые концепции финансового менеджмента. Эволюция финансового менеджмента.</w:t>
            </w:r>
          </w:p>
          <w:p>
            <w:pPr>
              <w:jc w:val="both"/>
              <w:spacing w:after="0" w:line="240" w:lineRule="auto"/>
              <w:rPr>
                <w:sz w:val="24"/>
                <w:szCs w:val="24"/>
              </w:rPr>
            </w:pPr>
            <w:r>
              <w:rPr>
                <w:rFonts w:ascii="Times New Roman" w:hAnsi="Times New Roman" w:cs="Times New Roman"/>
                <w:color w:val="#000000"/>
                <w:sz w:val="24"/>
                <w:szCs w:val="24"/>
              </w:rPr>
              <w:t> Финансовый менеджмент как наука и искусство принятия инвестиционных реше-ний и решений по выбору источников финансирования предпринимательской деятельно-сти. Финансовый менеджмент как орган 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Финансовая среда предпринимательства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финансового обеспечения. Формы и методы финансового обеспечения. Классификация источников финансирования предпринимательской деятельности. Внут- ренние и внешние источники финансирования. Собственные источники финансирова-ния. Политика формирования собственного капитала. Оценка стоимости отдельных эле- ментов собственного капитала. Принципы формирования уставного капитала, резервно- го, добавочного фондов, а также специального назначения. Финансовые механизмы управления, формирование операционной прибыли. Операционный рычаг. Состав заем- ного капитала предприятия. Политика привлечения заемных средств. Традиционны ме- тоды среднесрочного и краткосрочного финансирования. Управление привлечением бан- ковского кредита. Управление облигационным займом. Управление привлечением ком- мерческого кредита. Финансовый лизинг как инструмент финансирования предприятия. Арендное финансирование. Факторинг. Форфейтинг.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Управление прибылью предприятия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Распределение прибыли и эффективность функционирования предприятия. Диви-дендная политика. Содержание дивидендной политики и факторы, ее определяющие. Ме-тодика и порядок дивидендных выплат и политика развития предприятия. Управленче-ские критерии определения дивидендного дохода. Показатель дивидендного дохода. Ди- видендная политика и регулирование курса акций. Управление эмиссией акций.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Финансирование текущей деятельности предприятия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Текущие издержки и их планирование на предприятии. Классификация затрат и ее роль в управлении прибылью. Выбор системы учета затрат на производство и калькули-рования себестоимости продукции, работ и услуг. Основные положения оптимизации прибыли в системе «директ-костинг». Оценка операционного левериджа. Маржинальная прибыль. Расчет «запаса финансовой прочности» предприятия. Эффект производственно-го рычага.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активами предприятия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оборотного капитала предприятия и особенности финансового управления им. Политика управления оборотными активами. Стратегия финансирования оборотных средств. Принятие решений о структуре оборотных средств и краткосрочной задолженно- сти. Управление производственными запасами. Взаимосвязь и сбалансированность от- дельных видов запасов. Эффективное управление запасами как фактор роста прибыли. Управление дебиторской задолженностью. Анализ величины безнадежных долгов и со- здание необходимых резервов. Методы и модели управления денежными активами. Ана- лиз и планирование движения денежных средств. Оптимизация остатка денежных акти- вов с целью обеспечения постоянной платежеспособности. Управление потоком плате- жей. Управление платежеспособностью и ликвидностью предприятия. Понятие денежно- го потока и характеристика его видов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Финансовое планирование на предприятии</w:t>
            </w:r>
          </w:p>
        </w:tc>
      </w:tr>
      <w:tr>
        <w:trPr>
          <w:trHeight w:hRule="exact" w:val="848.33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планирования финансовой деятельности. Стратегия финансового планирования. Виды планов, содержание и последовательность их разработки. Бизнес- план и его финансовые аспекты. Основные финансовые показатели и методы их расчета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бизнес-планировании. Виды внутрифирменного финансового планирования. Годовой финансовый план (бюджет) компании. Операционный бюджет. Финансовый бюджет. Инвестиционный бюджет. Прогнозирование основных финансовых показателей. Имита- ционная модель финансового планирования и прогнозирования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основы финансового ме-неджмента</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цель и задачи финансового менеджмента. Функции финансового ме- неджмента. Финансовый менеджмент как система управления. Финансовый менеджмент и его структура. Базовые концепции финансового менеджмента. Эволюция финансового менеджмента.</w:t>
            </w:r>
          </w:p>
          <w:p>
            <w:pPr>
              <w:jc w:val="left"/>
              <w:spacing w:after="0" w:line="240" w:lineRule="auto"/>
              <w:rPr>
                <w:sz w:val="24"/>
                <w:szCs w:val="24"/>
              </w:rPr>
            </w:pPr>
            <w:r>
              <w:rPr>
                <w:rFonts w:ascii="Times New Roman" w:hAnsi="Times New Roman" w:cs="Times New Roman"/>
                <w:color w:val="#000000"/>
                <w:sz w:val="24"/>
                <w:szCs w:val="24"/>
              </w:rPr>
              <w:t> Финансовый менеджмент как наука и искусство принятия инвестиционных реше-ний и решений по выбору источников финансирования предпринимательской деятельно-сти. Финансовый менеджмент как орган 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Финансовая среда предпринимательства</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финансового обеспечения. Формы и методы финансового обеспечения. Классификация источников финансирования предпринимательской деятельности. Внут- ренние и внешние источники финансирования. Собственные источники финансирова-ния. Политика формирования собственного капитала. Оценка стоимости отдельных эле- ментов собственного капитала. Принципы формирования уставного капитала, резервно- го, добавочного фондов, а также специального назначения. Финансовые механизмы управления, формирование операционной прибыли. Операционный рычаг. Состав заем- ного капитала предприятия. Политика привлечения заемных средств. Традиционны ме- тоды среднесрочного и краткосрочного финансирования. Управление привлечением бан- ковского кредита. Управление облигационным займом. Управление привлечением ком- мерческого кредита. Финансовый лизинг как инструмент финансирования предприятия. Арендное финансирование. Факторинг. Форфейтинг.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Управление прибылью предприятия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Распределение прибыли и эффективность функционирования предприятия. Диви-дендная политика. Содержание дивидендной политики и факторы, ее определяющие. Ме-тодика и порядок дивидендных выплат и политика развития предприятия. Управленче-ские критерии определения дивидендного дохода. Показатель дивидендного дохода. Ди- видендная политика и регулирование курса акций. Управление эмиссией акций.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Финансирование текущей деятельности предприятия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Текущие издержки и их планирование на предприятии. Классификация затрат и ее роль в управлении прибылью. Выбор системы учета затрат на производство и калькули-рования себестоимости продукции, работ и услуг. Основные положения оптимизации прибыли в системе «директ-костинг». Оценка операционного левериджа. Маржинальная прибыль. Расчет «запаса финансовой прочности» предприятия. Эффект производственно-го рычага.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активами предприятия</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оборотного капитала предприятия и особенности финансового управления им. Политика управления оборотными активами. Стратегия финансирования оборотных средств. Принятие решений о структуре оборотных средств и краткосрочной задолженно- сти. Управление производственными запасами. Взаимосвязь и сбалансированность от- дельных видов запасов. Эффективное управление запасами как фактор роста прибыли. Управление дебиторской задолженностью. Анализ величины безнадежных долгов и со- здание необходимых резервов. Методы и модели управления денежными активами. Ана- лиз и планирование движения денежных средств. Оптимизация остатка денежных акти- вов с целью обеспечения постоянной платежеспособности. Управление потоком плате- жей. Управление платежеспособностью и ликвидностью предприятия. Понятие денежно- го потока и характеристика его видов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Финансовое планирование на предприятии</w:t>
            </w:r>
          </w:p>
        </w:tc>
      </w:tr>
      <w:tr>
        <w:trPr>
          <w:trHeight w:hRule="exact" w:val="21.31518"/>
        </w:trPr>
        <w:tc>
          <w:tcPr>
            <w:tcW w:w="9640" w:type="dxa"/>
          </w:tcPr>
          <w:p/>
        </w:tc>
      </w:tr>
      <w:tr>
        <w:trPr>
          <w:trHeight w:hRule="exact" w:val="505.53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 задачи планирования финансовой деятельности. Стратегия финансового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планирования. Виды планов, содержание и последовательность их разработки. Бизнес- план и его финансовые аспекты. Основные финансовые показатели и методы их расчета в бизнес-планировании. Виды внутрифирменного финансового планирования. Годовой финансовый план (бюджет) компании. Операционный бюджет. Финансовый бюджет. Инвестиционный бюджет. Прогнозирование основных финансовых показателей. Имита- ционная модель финансового планирования и прогнозирования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менеджмент» / Малышенко Геннадий Иванович.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Гриник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Бюджетирование</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http://www.iprbookshop.ru/72581.html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Стоимостной</w:t>
            </w:r>
            <w:r>
              <w:rPr/>
              <w:t xml:space="preserve"> </w:t>
            </w:r>
            <w:r>
              <w:rPr>
                <w:rFonts w:ascii="Times New Roman" w:hAnsi="Times New Roman" w:cs="Times New Roman"/>
                <w:color w:val="#000000"/>
                <w:sz w:val="24"/>
                <w:szCs w:val="24"/>
              </w:rPr>
              <w:t>инжиниринг</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предприятиях</w:t>
            </w:r>
            <w:r>
              <w:rPr/>
              <w:t xml:space="preserve"> </w:t>
            </w:r>
            <w:r>
              <w:rPr>
                <w:rFonts w:ascii="Times New Roman" w:hAnsi="Times New Roman" w:cs="Times New Roman"/>
                <w:color w:val="#000000"/>
                <w:sz w:val="24"/>
                <w:szCs w:val="24"/>
              </w:rPr>
              <w:t>ИСС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Каракозова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Стоимостной</w:t>
            </w:r>
            <w:r>
              <w:rPr/>
              <w:t xml:space="preserve"> </w:t>
            </w:r>
            <w:r>
              <w:rPr>
                <w:rFonts w:ascii="Times New Roman" w:hAnsi="Times New Roman" w:cs="Times New Roman"/>
                <w:color w:val="#000000"/>
                <w:sz w:val="24"/>
                <w:szCs w:val="24"/>
              </w:rPr>
              <w:t>инжиниринг</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предприятиях</w:t>
            </w:r>
            <w:r>
              <w:rPr/>
              <w:t xml:space="preserve"> </w:t>
            </w:r>
            <w:r>
              <w:rPr>
                <w:rFonts w:ascii="Times New Roman" w:hAnsi="Times New Roman" w:cs="Times New Roman"/>
                <w:color w:val="#000000"/>
                <w:sz w:val="24"/>
                <w:szCs w:val="24"/>
              </w:rPr>
              <w:t>ИСС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http://www.iprbookshop.ru/30361.html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Виды</w:t>
            </w:r>
            <w:r>
              <w:rPr/>
              <w:t xml:space="preserve"> </w:t>
            </w:r>
            <w:r>
              <w:rPr>
                <w:rFonts w:ascii="Times New Roman" w:hAnsi="Times New Roman" w:cs="Times New Roman"/>
                <w:color w:val="#000000"/>
                <w:sz w:val="24"/>
                <w:szCs w:val="24"/>
              </w:rPr>
              <w:t>практик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Пасечникова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Зенченко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Нестеренко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Трушкова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Орск:</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Орский</w:t>
            </w:r>
            <w:r>
              <w:rPr/>
              <w:t xml:space="preserve"> </w:t>
            </w:r>
            <w:r>
              <w:rPr>
                <w:rFonts w:ascii="Times New Roman" w:hAnsi="Times New Roman" w:cs="Times New Roman"/>
                <w:color w:val="#000000"/>
                <w:sz w:val="24"/>
                <w:szCs w:val="24"/>
              </w:rPr>
              <w:t>гуманитарно-технологический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(филиал)</w:t>
            </w:r>
            <w:r>
              <w:rPr/>
              <w:t xml:space="preserve"> </w:t>
            </w:r>
            <w:r>
              <w:rPr>
                <w:rFonts w:ascii="Times New Roman" w:hAnsi="Times New Roman" w:cs="Times New Roman"/>
                <w:color w:val="#000000"/>
                <w:sz w:val="24"/>
                <w:szCs w:val="24"/>
              </w:rPr>
              <w:t>Оренбургского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http://www.iprbookshop.ru/50092.html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69.38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2024-2025_ФГОС3++2024_Бак-ОЗФО-Э(УРиСД)(24)_plx_Финансовый менеджмент</dc:title>
  <dc:creator>FastReport.NET</dc:creator>
</cp:coreProperties>
</file>